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3E" w:rsidRPr="00B151F1" w:rsidRDefault="00F6683E" w:rsidP="00E4241B">
      <w:pPr>
        <w:jc w:val="center"/>
        <w:rPr>
          <w:b/>
          <w:sz w:val="32"/>
          <w:szCs w:val="32"/>
        </w:rPr>
      </w:pPr>
      <w:r w:rsidRPr="00B151F1">
        <w:rPr>
          <w:b/>
          <w:sz w:val="32"/>
          <w:szCs w:val="32"/>
        </w:rPr>
        <w:t>BYLAWS</w:t>
      </w:r>
    </w:p>
    <w:p w:rsidR="00F6683E" w:rsidRPr="00E4241B" w:rsidRDefault="00F6683E" w:rsidP="00E4241B">
      <w:pPr>
        <w:jc w:val="center"/>
        <w:rPr>
          <w:sz w:val="24"/>
          <w:szCs w:val="24"/>
        </w:rPr>
      </w:pP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</w:p>
    <w:p w:rsidR="00F6683E" w:rsidRPr="00B151F1" w:rsidRDefault="00F6683E" w:rsidP="00E4241B">
      <w:pPr>
        <w:jc w:val="center"/>
        <w:rPr>
          <w:b/>
          <w:sz w:val="32"/>
          <w:szCs w:val="32"/>
        </w:rPr>
      </w:pPr>
      <w:r w:rsidRPr="00B151F1">
        <w:rPr>
          <w:b/>
          <w:sz w:val="32"/>
          <w:szCs w:val="32"/>
        </w:rPr>
        <w:t>CENTRAL</w:t>
      </w:r>
      <w:r w:rsidR="006B4CA2" w:rsidRPr="00B151F1">
        <w:rPr>
          <w:b/>
          <w:sz w:val="32"/>
          <w:szCs w:val="32"/>
        </w:rPr>
        <w:t xml:space="preserve"> </w:t>
      </w:r>
      <w:r w:rsidRPr="00B151F1">
        <w:rPr>
          <w:b/>
          <w:sz w:val="32"/>
          <w:szCs w:val="32"/>
        </w:rPr>
        <w:t>ALBERTA</w:t>
      </w:r>
      <w:r w:rsidR="006B4CA2" w:rsidRPr="00B151F1">
        <w:rPr>
          <w:b/>
          <w:sz w:val="32"/>
          <w:szCs w:val="32"/>
        </w:rPr>
        <w:t xml:space="preserve"> </w:t>
      </w:r>
      <w:r w:rsidRPr="00B151F1">
        <w:rPr>
          <w:b/>
          <w:sz w:val="32"/>
          <w:szCs w:val="32"/>
        </w:rPr>
        <w:t>FIVE</w:t>
      </w:r>
      <w:r w:rsidR="006B4CA2" w:rsidRPr="00B151F1">
        <w:rPr>
          <w:b/>
          <w:sz w:val="32"/>
          <w:szCs w:val="32"/>
        </w:rPr>
        <w:t xml:space="preserve"> </w:t>
      </w:r>
      <w:r w:rsidRPr="00B151F1">
        <w:rPr>
          <w:b/>
          <w:sz w:val="32"/>
          <w:szCs w:val="32"/>
        </w:rPr>
        <w:t>PIN</w:t>
      </w:r>
      <w:r w:rsidR="006B4CA2" w:rsidRPr="00B151F1">
        <w:rPr>
          <w:b/>
          <w:sz w:val="32"/>
          <w:szCs w:val="32"/>
        </w:rPr>
        <w:t xml:space="preserve"> </w:t>
      </w:r>
      <w:r w:rsidRPr="00B151F1">
        <w:rPr>
          <w:b/>
          <w:sz w:val="32"/>
          <w:szCs w:val="32"/>
        </w:rPr>
        <w:t>BOWLERS’</w:t>
      </w:r>
      <w:r w:rsidR="006B4CA2" w:rsidRPr="00B151F1">
        <w:rPr>
          <w:b/>
          <w:sz w:val="32"/>
          <w:szCs w:val="32"/>
        </w:rPr>
        <w:t xml:space="preserve"> </w:t>
      </w:r>
      <w:r w:rsidRPr="00B151F1">
        <w:rPr>
          <w:b/>
          <w:sz w:val="32"/>
          <w:szCs w:val="32"/>
        </w:rPr>
        <w:t>ASSOCIATION</w:t>
      </w:r>
    </w:p>
    <w:p w:rsidR="00F6683E" w:rsidRDefault="00F6683E" w:rsidP="00E4241B">
      <w:pPr>
        <w:jc w:val="center"/>
        <w:rPr>
          <w:sz w:val="24"/>
          <w:szCs w:val="24"/>
        </w:rPr>
      </w:pPr>
      <w:r w:rsidRPr="00E4241B">
        <w:rPr>
          <w:sz w:val="24"/>
          <w:szCs w:val="24"/>
        </w:rPr>
        <w:t>(Hereinafter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referred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“Association”)</w:t>
      </w:r>
    </w:p>
    <w:p w:rsidR="00B151F1" w:rsidRPr="00E4241B" w:rsidRDefault="00B151F1" w:rsidP="00E4241B">
      <w:pPr>
        <w:jc w:val="center"/>
        <w:rPr>
          <w:sz w:val="24"/>
          <w:szCs w:val="24"/>
        </w:rPr>
      </w:pPr>
    </w:p>
    <w:p w:rsidR="00DD1C12" w:rsidRDefault="00F6683E" w:rsidP="00DD1C12">
      <w:pPr>
        <w:jc w:val="center"/>
        <w:rPr>
          <w:sz w:val="24"/>
          <w:szCs w:val="24"/>
        </w:rPr>
      </w:pPr>
      <w:r w:rsidRPr="00E4241B">
        <w:rPr>
          <w:sz w:val="24"/>
          <w:szCs w:val="24"/>
        </w:rPr>
        <w:t>Revised:</w:t>
      </w:r>
      <w:r w:rsidR="006B4CA2" w:rsidRPr="00E4241B">
        <w:rPr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September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19,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2004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(Rejected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by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Alberta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Registries)</w:t>
      </w:r>
      <w:r w:rsidR="00DD1C12" w:rsidRPr="00DD1C12">
        <w:rPr>
          <w:sz w:val="24"/>
          <w:szCs w:val="24"/>
        </w:rPr>
        <w:t xml:space="preserve"> </w:t>
      </w:r>
    </w:p>
    <w:p w:rsidR="00DD1C12" w:rsidRPr="00E4241B" w:rsidRDefault="00DD1C12" w:rsidP="00DD1C12">
      <w:pPr>
        <w:jc w:val="center"/>
        <w:rPr>
          <w:sz w:val="24"/>
          <w:szCs w:val="24"/>
        </w:rPr>
      </w:pPr>
      <w:r w:rsidRPr="00E4241B">
        <w:rPr>
          <w:sz w:val="24"/>
          <w:szCs w:val="24"/>
        </w:rPr>
        <w:t xml:space="preserve">Revised: </w:t>
      </w:r>
      <w:r w:rsidRPr="00B151F1">
        <w:rPr>
          <w:b/>
          <w:sz w:val="24"/>
          <w:szCs w:val="24"/>
        </w:rPr>
        <w:t>September 17, 2006 (Rejected by Alberta Registries)</w:t>
      </w:r>
    </w:p>
    <w:p w:rsidR="00F6683E" w:rsidRPr="00B151F1" w:rsidRDefault="00F6683E" w:rsidP="00E4241B">
      <w:pPr>
        <w:jc w:val="center"/>
        <w:rPr>
          <w:b/>
          <w:sz w:val="24"/>
          <w:szCs w:val="24"/>
        </w:rPr>
      </w:pPr>
      <w:r w:rsidRPr="00E4241B">
        <w:rPr>
          <w:sz w:val="24"/>
          <w:szCs w:val="24"/>
        </w:rPr>
        <w:t>Revised:</w:t>
      </w:r>
      <w:r w:rsidR="006B4CA2" w:rsidRPr="00E4241B">
        <w:rPr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November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15,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200</w:t>
      </w:r>
      <w:r w:rsidR="00C85A06" w:rsidRPr="00B151F1">
        <w:rPr>
          <w:b/>
          <w:sz w:val="24"/>
          <w:szCs w:val="24"/>
        </w:rPr>
        <w:t>6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Approved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by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Alberta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Registries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December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15,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2006</w:t>
      </w:r>
    </w:p>
    <w:p w:rsidR="00F6683E" w:rsidRPr="00B151F1" w:rsidRDefault="00F6683E" w:rsidP="00E4241B">
      <w:pPr>
        <w:jc w:val="center"/>
        <w:rPr>
          <w:b/>
          <w:sz w:val="24"/>
          <w:szCs w:val="24"/>
        </w:rPr>
      </w:pPr>
      <w:r w:rsidRPr="00E4241B">
        <w:rPr>
          <w:sz w:val="24"/>
          <w:szCs w:val="24"/>
        </w:rPr>
        <w:t>Revised:</w:t>
      </w:r>
      <w:r w:rsidR="006B4CA2" w:rsidRPr="00E4241B">
        <w:rPr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October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4,</w:t>
      </w:r>
      <w:r w:rsidR="006B4CA2" w:rsidRPr="00B151F1">
        <w:rPr>
          <w:b/>
          <w:sz w:val="24"/>
          <w:szCs w:val="24"/>
        </w:rPr>
        <w:t xml:space="preserve"> </w:t>
      </w:r>
      <w:r w:rsidRPr="00B151F1">
        <w:rPr>
          <w:b/>
          <w:sz w:val="24"/>
          <w:szCs w:val="24"/>
        </w:rPr>
        <w:t>2009</w:t>
      </w:r>
    </w:p>
    <w:p w:rsidR="00570A62" w:rsidRPr="00B151F1" w:rsidRDefault="00570A62" w:rsidP="00570A62">
      <w:pPr>
        <w:jc w:val="center"/>
        <w:rPr>
          <w:b/>
          <w:sz w:val="24"/>
          <w:szCs w:val="24"/>
        </w:rPr>
      </w:pPr>
      <w:r w:rsidRPr="00E4241B">
        <w:rPr>
          <w:sz w:val="24"/>
          <w:szCs w:val="24"/>
        </w:rPr>
        <w:t xml:space="preserve">Revised: </w:t>
      </w:r>
      <w:r w:rsidRPr="00B151F1">
        <w:rPr>
          <w:b/>
          <w:sz w:val="24"/>
          <w:szCs w:val="24"/>
        </w:rPr>
        <w:t>September 27, 2015</w:t>
      </w:r>
      <w:r w:rsidR="00400F25">
        <w:rPr>
          <w:b/>
          <w:sz w:val="24"/>
          <w:szCs w:val="24"/>
        </w:rPr>
        <w:t xml:space="preserve"> </w:t>
      </w:r>
      <w:r w:rsidR="00400F25" w:rsidRPr="00B151F1">
        <w:rPr>
          <w:b/>
          <w:sz w:val="24"/>
          <w:szCs w:val="24"/>
        </w:rPr>
        <w:t xml:space="preserve">Approved by Alberta Registries </w:t>
      </w:r>
      <w:r w:rsidR="00400F25">
        <w:rPr>
          <w:b/>
          <w:sz w:val="24"/>
          <w:szCs w:val="24"/>
        </w:rPr>
        <w:t>January 22, 2016</w:t>
      </w:r>
    </w:p>
    <w:p w:rsidR="00570A62" w:rsidRDefault="00570A62" w:rsidP="00E4241B">
      <w:pPr>
        <w:jc w:val="center"/>
        <w:rPr>
          <w:sz w:val="24"/>
          <w:szCs w:val="24"/>
        </w:rPr>
      </w:pPr>
    </w:p>
    <w:p w:rsidR="00DD1C12" w:rsidRDefault="00DD1C12" w:rsidP="00E4241B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317423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16D6A" w:rsidRPr="00400F25" w:rsidRDefault="00116D6A">
          <w:pPr>
            <w:pStyle w:val="TOCHeading"/>
            <w:rPr>
              <w:color w:val="auto"/>
            </w:rPr>
          </w:pPr>
          <w:r w:rsidRPr="00400F25">
            <w:rPr>
              <w:color w:val="auto"/>
            </w:rPr>
            <w:t>Table of Contents</w:t>
          </w:r>
        </w:p>
        <w:p w:rsidR="001B0F93" w:rsidRDefault="00116D6A">
          <w:pPr>
            <w:pStyle w:val="TOC1"/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740093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BOUNDARIES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_Toc434740093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2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094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MEMBERSHIP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_Toc434740094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2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095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STRUCTURE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_Toc434740095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2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096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EXECUTIVE OF THE BOARD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_Toc434740096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3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097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DUTIES OF THE DIRECTORS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_Toc434740097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3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098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STANDING COMMITTEES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_Toc434740098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5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099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7.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MEETINGS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_Toc434740099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5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0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8.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QUORUM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_Toc434740100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7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1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9.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VOTING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_Toc434740101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7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2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10.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BYLAWS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_Toc434740102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8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3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11.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STANDING RULES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_Toc434740103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8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4" w:history="1">
            <w:r w:rsidR="001B0F93" w:rsidRPr="004C7A4F">
              <w:rPr>
                <w:rStyle w:val="Hyperlink"/>
                <w:rFonts w:ascii="Imprint MT Shadow" w:hAnsi="Imprint MT Shadow"/>
                <w:b/>
                <w:noProof/>
              </w:rPr>
              <w:t>12.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Imprint MT Shadow" w:hAnsi="Imprint MT Shadow"/>
                <w:b/>
                <w:noProof/>
              </w:rPr>
              <w:t>AUDITING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_Toc434740104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8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5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13.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REMUNERATION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_Toc434740105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9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6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14.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BORROWING POWERS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_Toc434740106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9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7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15.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DISSOLUTION OF THE ASSOCIATION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_Toc434740107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9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B0F93" w:rsidRDefault="00C60D44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34740108" w:history="1"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16.</w:t>
            </w:r>
            <w:r w:rsidR="001B0F93">
              <w:rPr>
                <w:rFonts w:eastAsiaTheme="minorEastAsia"/>
                <w:noProof/>
                <w:lang w:eastAsia="en-CA"/>
              </w:rPr>
              <w:tab/>
            </w:r>
            <w:r w:rsidR="001B0F93" w:rsidRPr="004C7A4F">
              <w:rPr>
                <w:rStyle w:val="Hyperlink"/>
                <w:rFonts w:ascii="Times New Roman" w:hAnsi="Times New Roman" w:cs="Times New Roman"/>
                <w:b/>
                <w:noProof/>
              </w:rPr>
              <w:t>SEAL OF THE SOCIETY</w:t>
            </w:r>
            <w:r w:rsidR="001B0F93">
              <w:rPr>
                <w:noProof/>
                <w:webHidden/>
              </w:rPr>
              <w:tab/>
            </w:r>
            <w:r w:rsidR="001B0F93">
              <w:rPr>
                <w:noProof/>
                <w:webHidden/>
              </w:rPr>
              <w:fldChar w:fldCharType="begin"/>
            </w:r>
            <w:r w:rsidR="001B0F93">
              <w:rPr>
                <w:noProof/>
                <w:webHidden/>
              </w:rPr>
              <w:instrText xml:space="preserve"> PAGEREF _Toc434740108 \h </w:instrText>
            </w:r>
            <w:r w:rsidR="001B0F93">
              <w:rPr>
                <w:noProof/>
                <w:webHidden/>
              </w:rPr>
            </w:r>
            <w:r w:rsidR="001B0F93">
              <w:rPr>
                <w:noProof/>
                <w:webHidden/>
              </w:rPr>
              <w:fldChar w:fldCharType="separate"/>
            </w:r>
            <w:r w:rsidR="00C3441A">
              <w:rPr>
                <w:noProof/>
                <w:webHidden/>
              </w:rPr>
              <w:t>9</w:t>
            </w:r>
            <w:r w:rsidR="001B0F93">
              <w:rPr>
                <w:noProof/>
                <w:webHidden/>
              </w:rPr>
              <w:fldChar w:fldCharType="end"/>
            </w:r>
          </w:hyperlink>
        </w:p>
        <w:p w:rsidR="00116D6A" w:rsidRDefault="00116D6A">
          <w:r>
            <w:rPr>
              <w:b/>
              <w:bCs/>
              <w:noProof/>
            </w:rPr>
            <w:fldChar w:fldCharType="end"/>
          </w:r>
        </w:p>
      </w:sdtContent>
    </w:sdt>
    <w:p w:rsidR="00116D6A" w:rsidRDefault="00060DD8" w:rsidP="00060DD8">
      <w:pPr>
        <w:tabs>
          <w:tab w:val="left" w:pos="1140"/>
        </w:tabs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ab/>
      </w:r>
    </w:p>
    <w:p w:rsidR="00495FA3" w:rsidRPr="00E4241B" w:rsidRDefault="00495FA3" w:rsidP="00E4241B">
      <w:pPr>
        <w:jc w:val="center"/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Toc434740093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BOUNDARIES</w:t>
      </w:r>
      <w:bookmarkEnd w:id="0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boundaries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those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defined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Alberta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boundaries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Highway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16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north,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Highway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1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south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eastern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western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boundaries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province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Alberta.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exclude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town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located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northern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southern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boundaries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also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exclude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Cochrane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Airdrie.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" w:name="_Toc434740094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MEMBERSHIP</w:t>
      </w:r>
      <w:bookmarkEnd w:id="1"/>
    </w:p>
    <w:p w:rsidR="00464DF7" w:rsidRPr="00464DF7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Voluntary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membership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open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good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standing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="00D146EA">
        <w:rPr>
          <w:sz w:val="24"/>
          <w:szCs w:val="24"/>
        </w:rPr>
        <w:t xml:space="preserve">Alberta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  <w:r w:rsidR="00464DF7" w:rsidRPr="00464DF7">
        <w:rPr>
          <w:sz w:val="24"/>
          <w:szCs w:val="24"/>
        </w:rPr>
        <w:t xml:space="preserve"> </w:t>
      </w:r>
    </w:p>
    <w:p w:rsidR="00C948F4" w:rsidRPr="00464DF7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464DF7">
        <w:rPr>
          <w:sz w:val="24"/>
          <w:szCs w:val="24"/>
        </w:rPr>
        <w:t>A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member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may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withdraw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from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membership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at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any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time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by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surrendering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their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membership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card.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(hereinafter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referred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refuse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membership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issuance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reasonable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cause.</w:t>
      </w:r>
    </w:p>
    <w:p w:rsidR="00F6683E" w:rsidRPr="001C0475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Board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may,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majority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vote,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expel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any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Director,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executive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member,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officer</w:t>
      </w:r>
      <w:r w:rsidR="00830F62">
        <w:rPr>
          <w:sz w:val="24"/>
          <w:szCs w:val="24"/>
        </w:rPr>
        <w:t>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member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otherwise,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whose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conduct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is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determined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to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improper,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unbecoming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likely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to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endanger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reputation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of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Association,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whose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actions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are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detrimental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to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Association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who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willfully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violates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Bylaws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of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Association.</w:t>
      </w:r>
      <w:r w:rsidR="006B4CA2" w:rsidRPr="001C0475">
        <w:rPr>
          <w:sz w:val="24"/>
          <w:szCs w:val="24"/>
        </w:rPr>
        <w:t xml:space="preserve"> 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member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shall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notified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of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expulsion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and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may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appeal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Board’s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decision.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majority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recommend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Alberta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expel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otherwise,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conduct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determined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improper,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unbecoming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likely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endanger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reputation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actions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detrimental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sport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Alberta,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willfully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violates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Bylaws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notified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expulsion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appeal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decision.</w:t>
      </w:r>
    </w:p>
    <w:p w:rsidR="00F6683E" w:rsidRPr="00E4241B" w:rsidRDefault="00F6683E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2" w:name="_Toc434740095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STRUCTURE</w:t>
      </w:r>
      <w:bookmarkEnd w:id="2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full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control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management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affairs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subject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Bylaws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given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majority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properly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constituted.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consist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Treasurer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Secretary,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combined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Secretary/Treasurer</w:t>
      </w:r>
      <w:r w:rsidR="00CA4F4D">
        <w:rPr>
          <w:sz w:val="24"/>
          <w:szCs w:val="24"/>
        </w:rPr>
        <w:t xml:space="preserve"> </w:t>
      </w:r>
      <w:r w:rsidR="00CA4F4D" w:rsidRPr="00570A62">
        <w:rPr>
          <w:sz w:val="24"/>
          <w:szCs w:val="24"/>
        </w:rPr>
        <w:t>and the Past President</w:t>
      </w:r>
      <w:r w:rsidRPr="00E4241B">
        <w:rPr>
          <w:sz w:val="24"/>
          <w:szCs w:val="24"/>
        </w:rPr>
        <w:t>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hold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years.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even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numbered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years.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Treasurer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Secretary,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Secretary/Treasurer,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odd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numbered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years.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lastRenderedPageBreak/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balance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comprised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representatives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local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and/or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centre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hold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valid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Canadian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membership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cards</w:t>
      </w:r>
      <w:r w:rsidR="006B4CA2" w:rsidRPr="00E4241B">
        <w:rPr>
          <w:sz w:val="24"/>
          <w:szCs w:val="24"/>
        </w:rPr>
        <w:t xml:space="preserve"> 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Should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resign,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absent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three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(3)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consecutive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without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reasonable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cause,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removed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suspended,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expelled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position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considered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vacant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authority,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majority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appoint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replacement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complete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remaining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term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vacant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position.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successor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hold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until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next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Said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notified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appeal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decision.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quorum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(5)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transacted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without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quorum,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ratified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next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If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ratified,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considered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null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void.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elections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take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place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proofErr w:type="gramStart"/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event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proofErr w:type="gramEnd"/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unable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continue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her/his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position,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removed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replacement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named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through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3" w:name="_Toc434740096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EXECUTI</w:t>
      </w:r>
      <w:r w:rsidR="005C7FC0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OF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THE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BOARD</w:t>
      </w:r>
      <w:bookmarkEnd w:id="3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carry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out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day-to-day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requirements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Bylaws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often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necessary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meetings.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4" w:name="_Toc434740097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DUTIES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OF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THE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DIRECTORS</w:t>
      </w:r>
      <w:bookmarkEnd w:id="4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Board:</w:t>
      </w:r>
    </w:p>
    <w:p w:rsidR="00F6683E" w:rsidRPr="00464DF7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464DF7">
        <w:rPr>
          <w:sz w:val="24"/>
          <w:szCs w:val="24"/>
        </w:rPr>
        <w:t>Shall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attend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all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meetings.</w:t>
      </w:r>
    </w:p>
    <w:p w:rsidR="001C0475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1C0475">
        <w:rPr>
          <w:sz w:val="24"/>
          <w:szCs w:val="24"/>
        </w:rPr>
        <w:t>Shall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assist,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when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possible,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on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committees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of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Association.</w:t>
      </w:r>
    </w:p>
    <w:p w:rsidR="00F6683E" w:rsidRPr="001C0475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1C0475">
        <w:rPr>
          <w:sz w:val="24"/>
          <w:szCs w:val="24"/>
        </w:rPr>
        <w:t>Shall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perform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other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duties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assigned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by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the</w:t>
      </w:r>
      <w:r w:rsidR="006B4CA2" w:rsidRPr="001C0475">
        <w:rPr>
          <w:sz w:val="24"/>
          <w:szCs w:val="24"/>
        </w:rPr>
        <w:t xml:space="preserve"> </w:t>
      </w:r>
      <w:r w:rsidRPr="001C0475">
        <w:rPr>
          <w:sz w:val="24"/>
          <w:szCs w:val="24"/>
        </w:rPr>
        <w:t>Board.</w:t>
      </w:r>
    </w:p>
    <w:p w:rsidR="00C948F4" w:rsidRPr="00E4241B" w:rsidRDefault="00C948F4" w:rsidP="00E4241B">
      <w:pPr>
        <w:rPr>
          <w:sz w:val="24"/>
          <w:szCs w:val="24"/>
        </w:rPr>
      </w:pP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C204D9">
        <w:rPr>
          <w:b/>
          <w:i/>
          <w:sz w:val="24"/>
          <w:szCs w:val="24"/>
        </w:rPr>
        <w:t>The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President</w:t>
      </w:r>
      <w:r w:rsidRPr="00E4241B">
        <w:rPr>
          <w:sz w:val="24"/>
          <w:szCs w:val="24"/>
        </w:rPr>
        <w:t>: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  <w:r w:rsidR="006B4CA2" w:rsidRPr="00E4241B">
        <w:rPr>
          <w:sz w:val="24"/>
          <w:szCs w:val="24"/>
        </w:rPr>
        <w:t xml:space="preserve">   </w:t>
      </w:r>
      <w:r w:rsidRPr="00E4241B">
        <w:rPr>
          <w:sz w:val="24"/>
          <w:szCs w:val="24"/>
        </w:rPr>
        <w:t>If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absent,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B0723A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If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also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absent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ex-officio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committees.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tie-breaking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Chairperson.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signing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authority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contracts,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leases,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agreements,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cheques,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etc.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behalf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lastRenderedPageBreak/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represent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delegate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Alberta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along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(1)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other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designated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440" w:hanging="72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ensure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reports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required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prepared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appropriate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agency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before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leaving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C204D9">
        <w:rPr>
          <w:b/>
          <w:i/>
          <w:sz w:val="24"/>
          <w:szCs w:val="24"/>
        </w:rPr>
        <w:t>The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First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Vice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President</w:t>
      </w:r>
      <w:r w:rsidRPr="00E4241B">
        <w:rPr>
          <w:sz w:val="24"/>
          <w:szCs w:val="24"/>
        </w:rPr>
        <w:t>: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absence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signing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authority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contracts,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leases,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agreements,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cheques,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etc.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behalf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</w:p>
    <w:p w:rsidR="00F6683E" w:rsidRPr="00E4241B" w:rsidRDefault="00F6683E" w:rsidP="00E4241B">
      <w:pPr>
        <w:rPr>
          <w:sz w:val="24"/>
          <w:szCs w:val="24"/>
        </w:rPr>
      </w:pP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C204D9">
        <w:rPr>
          <w:b/>
          <w:i/>
          <w:sz w:val="24"/>
          <w:szCs w:val="24"/>
        </w:rPr>
        <w:t>The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Second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Vice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President</w:t>
      </w:r>
      <w:r w:rsidRPr="00E4241B">
        <w:rPr>
          <w:sz w:val="24"/>
          <w:szCs w:val="24"/>
        </w:rPr>
        <w:t>:</w:t>
      </w:r>
    </w:p>
    <w:p w:rsidR="00F6683E" w:rsidRDefault="00C85A06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</w:t>
      </w:r>
      <w:r w:rsidR="00F6683E" w:rsidRPr="00E4241B">
        <w:rPr>
          <w:sz w:val="24"/>
          <w:szCs w:val="24"/>
        </w:rPr>
        <w:t>hall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perform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duties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assigned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Board.</w:t>
      </w:r>
      <w:r w:rsidR="006B4CA2" w:rsidRPr="00E4241B">
        <w:rPr>
          <w:sz w:val="24"/>
          <w:szCs w:val="24"/>
        </w:rPr>
        <w:t xml:space="preserve">  </w:t>
      </w:r>
      <w:r w:rsidR="00F6683E"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preside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over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if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Vice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are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both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absent.</w:t>
      </w:r>
    </w:p>
    <w:p w:rsidR="00B0723A" w:rsidRPr="00570A62" w:rsidRDefault="00B0723A" w:rsidP="00B83F7C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570A62">
        <w:rPr>
          <w:sz w:val="24"/>
          <w:szCs w:val="24"/>
        </w:rPr>
        <w:t>Can have secondary signing authority for all contracts, leases, agreements, cheques, etc. on behalf of the Association.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C204D9" w:rsidRDefault="00C85A06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C204D9">
        <w:rPr>
          <w:b/>
          <w:i/>
          <w:sz w:val="24"/>
          <w:szCs w:val="24"/>
        </w:rPr>
        <w:t>T</w:t>
      </w:r>
      <w:r w:rsidR="00F6683E" w:rsidRPr="00C204D9">
        <w:rPr>
          <w:b/>
          <w:i/>
          <w:sz w:val="24"/>
          <w:szCs w:val="24"/>
        </w:rPr>
        <w:t>he</w:t>
      </w:r>
      <w:r w:rsidR="006B4CA2" w:rsidRPr="00C204D9">
        <w:rPr>
          <w:b/>
          <w:i/>
          <w:sz w:val="24"/>
          <w:szCs w:val="24"/>
        </w:rPr>
        <w:t xml:space="preserve"> </w:t>
      </w:r>
      <w:r w:rsidR="00F6683E" w:rsidRPr="00C204D9">
        <w:rPr>
          <w:b/>
          <w:i/>
          <w:sz w:val="24"/>
          <w:szCs w:val="24"/>
        </w:rPr>
        <w:t>Treasurer:</w:t>
      </w:r>
    </w:p>
    <w:p w:rsidR="00F6683E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responsible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collections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deposits,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disbursements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investments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monies,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464DF7" w:rsidRPr="00E4241B" w:rsidRDefault="00464DF7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 xml:space="preserve">Shall properly tender and truly account for </w:t>
      </w:r>
      <w:proofErr w:type="gramStart"/>
      <w:r w:rsidRPr="00E4241B">
        <w:rPr>
          <w:sz w:val="24"/>
          <w:szCs w:val="24"/>
        </w:rPr>
        <w:t>all of</w:t>
      </w:r>
      <w:proofErr w:type="gramEnd"/>
      <w:r w:rsidRPr="00E4241B">
        <w:rPr>
          <w:sz w:val="24"/>
          <w:szCs w:val="24"/>
        </w:rPr>
        <w:t xml:space="preserve"> the Association’s monies.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written,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up-to-date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financial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report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prepare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year-end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financial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report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duly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reviewed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primary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signing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authority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contracts,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leases,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agreements,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cheques,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etc.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behalf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prepare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Budget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review,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prior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C204D9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C204D9">
        <w:rPr>
          <w:b/>
          <w:i/>
          <w:sz w:val="24"/>
          <w:szCs w:val="24"/>
        </w:rPr>
        <w:t>The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Secretary: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minutes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excluding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committee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meetings.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keep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prepare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minutes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society.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take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receipt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committees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document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charge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correspondence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correspondence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brought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bookmarkStart w:id="5" w:name="_GoBack"/>
      <w:r w:rsidRPr="00E4241B">
        <w:rPr>
          <w:sz w:val="24"/>
          <w:szCs w:val="24"/>
        </w:rPr>
        <w:lastRenderedPageBreak/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produce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distribute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copies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minutes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bookmarkEnd w:id="5"/>
      <w:r w:rsidRPr="00E4241B">
        <w:rPr>
          <w:sz w:val="24"/>
          <w:szCs w:val="24"/>
        </w:rPr>
        <w:t>within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fourteen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(14)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One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(1)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copy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(whether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copy,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fax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electronic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distribution)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minutes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distributed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centre.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maintain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C204D9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C204D9">
        <w:rPr>
          <w:b/>
          <w:i/>
          <w:sz w:val="24"/>
          <w:szCs w:val="24"/>
        </w:rPr>
        <w:t>The</w:t>
      </w:r>
      <w:r w:rsidR="006B4CA2" w:rsidRPr="00C204D9">
        <w:rPr>
          <w:b/>
          <w:i/>
          <w:sz w:val="24"/>
          <w:szCs w:val="24"/>
        </w:rPr>
        <w:t xml:space="preserve"> </w:t>
      </w:r>
      <w:r w:rsidRPr="00C204D9">
        <w:rPr>
          <w:b/>
          <w:i/>
          <w:sz w:val="24"/>
          <w:szCs w:val="24"/>
        </w:rPr>
        <w:t>Directors: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representative(s),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maximum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(2),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local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located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boundaries.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Where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local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5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Bowlers'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exists,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designated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representative(s),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maximum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(2),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centre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located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</w:p>
    <w:p w:rsidR="00F6683E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knowledgeable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functions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events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liaison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between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CA4F4D" w:rsidRPr="00CA4F4D" w:rsidRDefault="00CA4F4D" w:rsidP="00CA4F4D">
      <w:pPr>
        <w:spacing w:before="120" w:after="120" w:line="240" w:lineRule="auto"/>
        <w:rPr>
          <w:sz w:val="24"/>
          <w:szCs w:val="24"/>
        </w:rPr>
      </w:pPr>
    </w:p>
    <w:p w:rsidR="00CA4F4D" w:rsidRPr="00570A62" w:rsidRDefault="00CA4F4D" w:rsidP="00CA4F4D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570A62">
        <w:rPr>
          <w:b/>
          <w:i/>
          <w:sz w:val="24"/>
          <w:szCs w:val="24"/>
        </w:rPr>
        <w:t>Past President</w:t>
      </w:r>
    </w:p>
    <w:p w:rsidR="00F6683E" w:rsidRPr="00570A62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570A62">
        <w:rPr>
          <w:sz w:val="24"/>
          <w:szCs w:val="24"/>
        </w:rPr>
        <w:t>Immediate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Past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President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shall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provide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continuity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on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the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Board,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be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responsible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for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the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orientation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and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education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of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the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newly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elected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board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members.</w:t>
      </w:r>
    </w:p>
    <w:p w:rsidR="00CA4F4D" w:rsidRDefault="00CA4F4D" w:rsidP="001B0F93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6" w:name="_Toc434740098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STANDING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COMMITTEES</w:t>
      </w:r>
      <w:bookmarkEnd w:id="6"/>
    </w:p>
    <w:p w:rsidR="00F6683E" w:rsidRPr="00E4241B" w:rsidRDefault="00C85A06" w:rsidP="001C047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</w:t>
      </w:r>
      <w:r w:rsidR="00F6683E" w:rsidRPr="00E4241B">
        <w:rPr>
          <w:sz w:val="24"/>
          <w:szCs w:val="24"/>
        </w:rPr>
        <w:t>he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Standing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Committees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(if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required)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be: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Tournaments.</w:t>
      </w:r>
    </w:p>
    <w:p w:rsidR="00F6683E" w:rsidRPr="00E4241B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Membership.</w:t>
      </w:r>
    </w:p>
    <w:p w:rsidR="00F6683E" w:rsidRDefault="00F6683E" w:rsidP="00740C7F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Fund-raising.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5C7FC0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5C7FC0">
        <w:rPr>
          <w:b/>
          <w:i/>
          <w:sz w:val="24"/>
          <w:szCs w:val="24"/>
        </w:rPr>
        <w:t>AD-HOC</w:t>
      </w:r>
      <w:r w:rsidR="006B4CA2" w:rsidRPr="005C7FC0">
        <w:rPr>
          <w:b/>
          <w:i/>
          <w:sz w:val="24"/>
          <w:szCs w:val="24"/>
        </w:rPr>
        <w:t xml:space="preserve"> </w:t>
      </w:r>
      <w:r w:rsidRPr="005C7FC0">
        <w:rPr>
          <w:b/>
          <w:i/>
          <w:sz w:val="24"/>
          <w:szCs w:val="24"/>
        </w:rPr>
        <w:t>COMMITTEES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proofErr w:type="gramStart"/>
      <w:r w:rsidRPr="00E4241B">
        <w:rPr>
          <w:sz w:val="24"/>
          <w:szCs w:val="24"/>
        </w:rPr>
        <w:t>form</w:t>
      </w:r>
      <w:proofErr w:type="gramEnd"/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dissolve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Ad-hoc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committees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required.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7" w:name="_Toc434740099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MEETINGS</w:t>
      </w:r>
      <w:bookmarkEnd w:id="7"/>
    </w:p>
    <w:p w:rsidR="00F6683E" w:rsidRPr="005C7FC0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5C7FC0">
        <w:rPr>
          <w:b/>
          <w:i/>
          <w:sz w:val="24"/>
          <w:szCs w:val="24"/>
        </w:rPr>
        <w:t>BOARD</w:t>
      </w:r>
      <w:r w:rsidR="006B4CA2" w:rsidRPr="005C7FC0">
        <w:rPr>
          <w:b/>
          <w:i/>
          <w:sz w:val="24"/>
          <w:szCs w:val="24"/>
        </w:rPr>
        <w:t xml:space="preserve"> </w:t>
      </w:r>
      <w:r w:rsidRPr="005C7FC0">
        <w:rPr>
          <w:b/>
          <w:i/>
          <w:sz w:val="24"/>
          <w:szCs w:val="24"/>
        </w:rPr>
        <w:t>MEETING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held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after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finalize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budget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Standing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Committees.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quorum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(5)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lastRenderedPageBreak/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after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firstly,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submitting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written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request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secondly,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receiving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permission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5C7FC0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5C7FC0">
        <w:rPr>
          <w:b/>
          <w:i/>
          <w:sz w:val="24"/>
          <w:szCs w:val="24"/>
        </w:rPr>
        <w:t>EXECUTIVE</w:t>
      </w:r>
      <w:r w:rsidR="006B4CA2" w:rsidRPr="005C7FC0">
        <w:rPr>
          <w:b/>
          <w:i/>
          <w:sz w:val="24"/>
          <w:szCs w:val="24"/>
        </w:rPr>
        <w:t xml:space="preserve"> </w:t>
      </w:r>
      <w:r w:rsidRPr="005C7FC0">
        <w:rPr>
          <w:b/>
          <w:i/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issues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requiring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immediate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attention.</w:t>
      </w:r>
    </w:p>
    <w:p w:rsidR="00F6683E" w:rsidRPr="00E4241B" w:rsidRDefault="00C85A06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Q</w:t>
      </w:r>
      <w:r w:rsidR="00F6683E" w:rsidRPr="00E4241B">
        <w:rPr>
          <w:sz w:val="24"/>
          <w:szCs w:val="24"/>
        </w:rPr>
        <w:t>uorum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50%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more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members.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next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must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ratify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transacted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5C7FC0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5C7FC0">
        <w:rPr>
          <w:b/>
          <w:i/>
          <w:sz w:val="24"/>
          <w:szCs w:val="24"/>
        </w:rPr>
        <w:t>SPECIAL</w:t>
      </w:r>
      <w:r w:rsidR="006B4CA2" w:rsidRPr="005C7FC0">
        <w:rPr>
          <w:b/>
          <w:i/>
          <w:sz w:val="24"/>
          <w:szCs w:val="24"/>
        </w:rPr>
        <w:t xml:space="preserve"> </w:t>
      </w:r>
      <w:r w:rsidRPr="005C7FC0">
        <w:rPr>
          <w:b/>
          <w:i/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President,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upon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written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request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(5)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good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standing.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fifteen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(15)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receipt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request.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request.</w:t>
      </w:r>
    </w:p>
    <w:p w:rsidR="00C20804" w:rsidRDefault="00C85A06" w:rsidP="00C20804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C20804">
        <w:rPr>
          <w:sz w:val="24"/>
          <w:szCs w:val="24"/>
        </w:rPr>
        <w:t>Q</w:t>
      </w:r>
      <w:r w:rsidR="00F6683E" w:rsidRPr="00C20804">
        <w:rPr>
          <w:sz w:val="24"/>
          <w:szCs w:val="24"/>
        </w:rPr>
        <w:t>uorum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shall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five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percent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(5%)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of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members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in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good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standing,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if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request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is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from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membership,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or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by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two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percent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(2%)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of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members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from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a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local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5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Pin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Bowlers'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Association,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if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request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is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from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a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local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5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Pin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Bowlers'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Association,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or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by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a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majority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of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Board,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if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request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is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from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="00F6683E" w:rsidRPr="00C20804">
        <w:rPr>
          <w:sz w:val="24"/>
          <w:szCs w:val="24"/>
        </w:rPr>
        <w:t>Board.</w:t>
      </w:r>
    </w:p>
    <w:p w:rsidR="00F6683E" w:rsidRPr="00C20804" w:rsidRDefault="00F6683E" w:rsidP="00C20804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C20804">
        <w:rPr>
          <w:sz w:val="24"/>
          <w:szCs w:val="24"/>
        </w:rPr>
        <w:t>Notice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of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Special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Meeting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shall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be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announced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to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membership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at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least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ten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(10)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days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prior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to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the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meeting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through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postings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and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announcements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at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each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bowling</w:t>
      </w:r>
      <w:r w:rsidR="006B4CA2" w:rsidRPr="00C20804">
        <w:rPr>
          <w:sz w:val="24"/>
          <w:szCs w:val="24"/>
        </w:rPr>
        <w:t xml:space="preserve"> </w:t>
      </w:r>
      <w:r w:rsidRPr="00C20804">
        <w:rPr>
          <w:sz w:val="24"/>
          <w:szCs w:val="24"/>
        </w:rPr>
        <w:t>centre.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5C7FC0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b/>
          <w:i/>
          <w:sz w:val="24"/>
          <w:szCs w:val="24"/>
        </w:rPr>
      </w:pPr>
      <w:r w:rsidRPr="005C7FC0">
        <w:rPr>
          <w:b/>
          <w:i/>
          <w:sz w:val="24"/>
          <w:szCs w:val="24"/>
        </w:rPr>
        <w:t>ANNUAL</w:t>
      </w:r>
      <w:r w:rsidR="006B4CA2" w:rsidRPr="005C7FC0">
        <w:rPr>
          <w:b/>
          <w:i/>
          <w:sz w:val="24"/>
          <w:szCs w:val="24"/>
        </w:rPr>
        <w:t xml:space="preserve"> </w:t>
      </w:r>
      <w:r w:rsidRPr="005C7FC0">
        <w:rPr>
          <w:b/>
          <w:i/>
          <w:sz w:val="24"/>
          <w:szCs w:val="24"/>
        </w:rPr>
        <w:t>GENERAL</w:t>
      </w:r>
      <w:r w:rsidR="006B4CA2" w:rsidRPr="005C7FC0">
        <w:rPr>
          <w:b/>
          <w:i/>
          <w:sz w:val="24"/>
          <w:szCs w:val="24"/>
        </w:rPr>
        <w:t xml:space="preserve"> </w:t>
      </w:r>
      <w:r w:rsidRPr="005C7FC0">
        <w:rPr>
          <w:b/>
          <w:i/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held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ninety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(90)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start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fiscal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year.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Notice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made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through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postings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announcements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bowling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centre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optionally,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advertised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daily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news</w:t>
      </w:r>
      <w:r w:rsidR="006B4CA2" w:rsidRPr="00E4241B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media</w:t>
      </w:r>
      <w:r w:rsidR="00CA4F4D" w:rsidRPr="00570A62">
        <w:rPr>
          <w:sz w:val="24"/>
          <w:szCs w:val="24"/>
        </w:rPr>
        <w:t>, on websites and through social media</w:t>
      </w:r>
      <w:r w:rsidRPr="00570A62">
        <w:rPr>
          <w:sz w:val="24"/>
          <w:szCs w:val="24"/>
        </w:rPr>
        <w:t>,</w:t>
      </w:r>
      <w:r w:rsidR="006B4CA2" w:rsidRPr="00570A62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thirty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(30)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prior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quorum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percent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(5%)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good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standing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attendance.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Order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be: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order.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Registration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Membership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Reading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minutes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previous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Business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arising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lastRenderedPageBreak/>
        <w:t>Correspondence.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Nomination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–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First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President’s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report.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Committee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reports.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Financial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statements.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Election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audit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officers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Nomination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–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Second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</w:t>
      </w:r>
    </w:p>
    <w:p w:rsidR="00F6683E" w:rsidRPr="00464DF7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464DF7">
        <w:rPr>
          <w:sz w:val="24"/>
          <w:szCs w:val="24"/>
        </w:rPr>
        <w:t>Unfinished</w:t>
      </w:r>
      <w:r w:rsidR="006B4CA2" w:rsidRPr="00464DF7">
        <w:rPr>
          <w:sz w:val="24"/>
          <w:szCs w:val="24"/>
        </w:rPr>
        <w:t xml:space="preserve"> </w:t>
      </w:r>
      <w:r w:rsidRPr="00464DF7">
        <w:rPr>
          <w:sz w:val="24"/>
          <w:szCs w:val="24"/>
        </w:rPr>
        <w:t>business.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New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business.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Nomination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–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Final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&amp;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Officers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Review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By-Laws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Election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Officers.</w:t>
      </w:r>
    </w:p>
    <w:p w:rsidR="00F6683E" w:rsidRPr="00E4241B" w:rsidRDefault="00F6683E" w:rsidP="003A6CEA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Adjournment.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8" w:name="_Toc434740100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QUORUM</w:t>
      </w:r>
      <w:bookmarkEnd w:id="8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Where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quorum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recalled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time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decided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those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subsequent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quorum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consist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those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9" w:name="_Toc434740101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VOTING</w:t>
      </w:r>
      <w:bookmarkEnd w:id="9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good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standing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right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Special</w:t>
      </w:r>
      <w:r w:rsidR="006B4CA2" w:rsidRPr="00E4241B">
        <w:rPr>
          <w:sz w:val="24"/>
          <w:szCs w:val="24"/>
        </w:rPr>
        <w:t xml:space="preserve"> </w:t>
      </w:r>
      <w:proofErr w:type="gramStart"/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but</w:t>
      </w:r>
      <w:proofErr w:type="gramEnd"/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must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present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person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vote.</w:t>
      </w:r>
    </w:p>
    <w:p w:rsidR="00F6683E" w:rsidRPr="00E4241B" w:rsidRDefault="006B4CA2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O</w:t>
      </w:r>
      <w:r w:rsidR="00F6683E" w:rsidRPr="00E4241B">
        <w:rPr>
          <w:sz w:val="24"/>
          <w:szCs w:val="24"/>
        </w:rPr>
        <w:t>nly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Board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members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may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vote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at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Board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Only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Voting:</w:t>
      </w:r>
    </w:p>
    <w:p w:rsidR="00F6683E" w:rsidRPr="00E4241B" w:rsidRDefault="00F6683E" w:rsidP="00C20804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Board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entitled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but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absent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from,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assign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another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person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member's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behalf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specified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matter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exercise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such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holder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must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also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entitled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question.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written</w:t>
      </w:r>
      <w:r w:rsidR="00CA4F4D" w:rsidRPr="00570A62">
        <w:rPr>
          <w:sz w:val="24"/>
          <w:szCs w:val="24"/>
        </w:rPr>
        <w:t xml:space="preserve"> (or electronic)</w:t>
      </w:r>
      <w:r w:rsidR="006B4CA2" w:rsidRPr="00570A62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valid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specified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matter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specified.</w:t>
      </w:r>
    </w:p>
    <w:p w:rsidR="00F6683E" w:rsidRPr="00E4241B" w:rsidRDefault="006B4CA2" w:rsidP="00C20804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</w:t>
      </w:r>
      <w:r w:rsidR="00F6683E" w:rsidRPr="00E4241B">
        <w:rPr>
          <w:sz w:val="24"/>
          <w:szCs w:val="24"/>
        </w:rPr>
        <w:t>he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exercise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of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proxy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vote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by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proxy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holder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is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as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conclusive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as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if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the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member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voted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personally.</w:t>
      </w:r>
    </w:p>
    <w:p w:rsidR="00F6683E" w:rsidRPr="00E4241B" w:rsidRDefault="00F6683E" w:rsidP="00C20804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written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form,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specify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exercised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specify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matter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proofErr w:type="gramStart"/>
      <w:r w:rsidRPr="00E4241B">
        <w:rPr>
          <w:sz w:val="24"/>
          <w:szCs w:val="24"/>
        </w:rPr>
        <w:t>manner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which</w:t>
      </w:r>
      <w:proofErr w:type="gramEnd"/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vote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made.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enforceable,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lastRenderedPageBreak/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filed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Secretary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advance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minutes.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Secretary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exercise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person's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cases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where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filing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has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designated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holder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where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designated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proxy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holder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attendance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0" w:name="_Toc434740102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BYLAWS</w:t>
      </w:r>
      <w:bookmarkEnd w:id="10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Bylaws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rescinded,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altered,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replaced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added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Special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Resolution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at: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or,</w:t>
      </w:r>
    </w:p>
    <w:p w:rsidR="00F6683E" w:rsidRPr="00E4241B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Submissions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changes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bylaws,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must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writing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twenty-one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(21)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prior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3A6CEA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3A6CEA">
        <w:rPr>
          <w:sz w:val="24"/>
          <w:szCs w:val="24"/>
        </w:rPr>
        <w:t>Amendments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to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the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Bylaws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require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a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three-quarter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(3/4)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majority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vote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to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be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approved.</w:t>
      </w:r>
    </w:p>
    <w:p w:rsidR="00F6683E" w:rsidRPr="003A6CEA" w:rsidRDefault="00F6683E" w:rsidP="001C0475">
      <w:pPr>
        <w:pStyle w:val="ListParagraph"/>
        <w:numPr>
          <w:ilvl w:val="2"/>
          <w:numId w:val="1"/>
        </w:numPr>
        <w:spacing w:before="120" w:after="120" w:line="240" w:lineRule="auto"/>
        <w:ind w:left="1350" w:hanging="630"/>
        <w:contextualSpacing w:val="0"/>
        <w:rPr>
          <w:sz w:val="24"/>
          <w:szCs w:val="24"/>
        </w:rPr>
      </w:pPr>
      <w:r w:rsidRPr="003A6CEA">
        <w:rPr>
          <w:sz w:val="24"/>
          <w:szCs w:val="24"/>
        </w:rPr>
        <w:t>The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Bylaws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will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comply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with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the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Alberta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Liquor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and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Gaming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Commission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(AGLC)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rules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and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regulations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in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order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to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maintain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provincial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gaming</w:t>
      </w:r>
      <w:r w:rsidR="006B4CA2" w:rsidRPr="003A6CEA">
        <w:rPr>
          <w:sz w:val="24"/>
          <w:szCs w:val="24"/>
        </w:rPr>
        <w:t xml:space="preserve"> </w:t>
      </w:r>
      <w:r w:rsidRPr="003A6CEA">
        <w:rPr>
          <w:sz w:val="24"/>
          <w:szCs w:val="24"/>
        </w:rPr>
        <w:t>licenses.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1" w:name="_Toc434740103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STANDING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RULES</w:t>
      </w:r>
      <w:bookmarkEnd w:id="11"/>
    </w:p>
    <w:p w:rsidR="00F6683E" w:rsidRPr="00570A62" w:rsidRDefault="00F6683E" w:rsidP="00CA4F4D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570A62">
        <w:rPr>
          <w:sz w:val="24"/>
          <w:szCs w:val="24"/>
        </w:rPr>
        <w:t>Are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the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guidelines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for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the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Association’s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day-to-day</w:t>
      </w:r>
      <w:r w:rsidR="006B4CA2" w:rsidRPr="00570A62">
        <w:rPr>
          <w:sz w:val="24"/>
          <w:szCs w:val="24"/>
        </w:rPr>
        <w:t xml:space="preserve"> </w:t>
      </w:r>
      <w:r w:rsidR="00687A9D" w:rsidRPr="00570A62">
        <w:rPr>
          <w:sz w:val="24"/>
          <w:szCs w:val="24"/>
        </w:rPr>
        <w:t>operations?</w:t>
      </w:r>
    </w:p>
    <w:p w:rsidR="00F6683E" w:rsidRPr="00570A62" w:rsidRDefault="00F6683E" w:rsidP="00CA4F4D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570A62">
        <w:rPr>
          <w:sz w:val="24"/>
          <w:szCs w:val="24"/>
        </w:rPr>
        <w:t>Shall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establish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the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conduct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and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code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of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ethics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for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its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membership.</w:t>
      </w:r>
    </w:p>
    <w:p w:rsidR="00F6683E" w:rsidRPr="00570A62" w:rsidRDefault="00F6683E" w:rsidP="00CA4F4D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570A62">
        <w:rPr>
          <w:sz w:val="24"/>
          <w:szCs w:val="24"/>
        </w:rPr>
        <w:t>May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be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rescinded,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altered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or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added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to,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at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any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Meeting,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by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majority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vote.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495FA3" w:rsidRDefault="00F6683E" w:rsidP="00495FA3">
      <w:pPr>
        <w:pStyle w:val="Heading1"/>
        <w:numPr>
          <w:ilvl w:val="0"/>
          <w:numId w:val="1"/>
        </w:numPr>
        <w:rPr>
          <w:rFonts w:ascii="Imprint MT Shadow" w:hAnsi="Imprint MT Shadow"/>
          <w:b/>
          <w:color w:val="000000" w:themeColor="text1"/>
          <w:sz w:val="28"/>
          <w:szCs w:val="28"/>
          <w:u w:val="single"/>
        </w:rPr>
      </w:pPr>
      <w:bookmarkStart w:id="12" w:name="_Toc434740104"/>
      <w:r w:rsidRPr="00495FA3">
        <w:rPr>
          <w:rFonts w:ascii="Imprint MT Shadow" w:hAnsi="Imprint MT Shadow"/>
          <w:b/>
          <w:color w:val="000000" w:themeColor="text1"/>
          <w:sz w:val="28"/>
          <w:szCs w:val="28"/>
          <w:u w:val="single"/>
        </w:rPr>
        <w:t>AUDITING</w:t>
      </w:r>
      <w:bookmarkEnd w:id="12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fiscal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year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commence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August</w:t>
      </w:r>
      <w:r w:rsidR="006B4CA2" w:rsidRPr="00E4241B">
        <w:rPr>
          <w:sz w:val="24"/>
          <w:szCs w:val="24"/>
        </w:rPr>
        <w:t xml:space="preserve"> </w:t>
      </w:r>
      <w:r w:rsidR="003A6CEA">
        <w:rPr>
          <w:sz w:val="24"/>
          <w:szCs w:val="24"/>
        </w:rPr>
        <w:t>1</w:t>
      </w:r>
      <w:r w:rsidR="005C7FC0" w:rsidRPr="005C7FC0">
        <w:rPr>
          <w:sz w:val="24"/>
          <w:szCs w:val="24"/>
          <w:vertAlign w:val="superscript"/>
        </w:rPr>
        <w:t>st</w:t>
      </w:r>
      <w:r w:rsidR="005C7FC0">
        <w:rPr>
          <w:sz w:val="24"/>
          <w:szCs w:val="24"/>
        </w:rPr>
        <w:t xml:space="preserve">. 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Association’s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books,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accounts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audited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two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(2)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society,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duly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purpose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Review</w:t>
      </w:r>
      <w:r w:rsidR="006B4CA2" w:rsidRPr="00E4241B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report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shall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be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prepared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and</w:t>
      </w:r>
      <w:r w:rsidR="006B4CA2" w:rsidRPr="00570A62">
        <w:rPr>
          <w:sz w:val="24"/>
          <w:szCs w:val="24"/>
        </w:rPr>
        <w:t xml:space="preserve"> </w:t>
      </w:r>
      <w:r w:rsidRPr="00570A62">
        <w:rPr>
          <w:sz w:val="24"/>
          <w:szCs w:val="24"/>
        </w:rPr>
        <w:t>presented</w:t>
      </w:r>
      <w:r w:rsidR="006B4CA2" w:rsidRPr="00570A62">
        <w:rPr>
          <w:sz w:val="24"/>
          <w:szCs w:val="24"/>
        </w:rPr>
        <w:t xml:space="preserve"> </w:t>
      </w:r>
      <w:r w:rsidR="00FC6BAA" w:rsidRPr="00570A62">
        <w:rPr>
          <w:sz w:val="24"/>
          <w:szCs w:val="24"/>
        </w:rPr>
        <w:t>to the board as soon as possible following the review</w:t>
      </w:r>
      <w:r w:rsidR="00570A62" w:rsidRPr="00570A62">
        <w:rPr>
          <w:sz w:val="24"/>
          <w:szCs w:val="24"/>
        </w:rPr>
        <w:t>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books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inspected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good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standing,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Annual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General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time,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upon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giving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reasonable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notice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satisfactory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time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can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arranged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Director(s)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charge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same.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mandatory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review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books,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accounts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conducted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each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time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Treasurer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vacates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position.</w:t>
      </w:r>
      <w:r w:rsidR="006B4CA2" w:rsidRPr="00E4241B">
        <w:rPr>
          <w:sz w:val="24"/>
          <w:szCs w:val="24"/>
        </w:rPr>
        <w:t xml:space="preserve"> 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review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must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proofErr w:type="gramStart"/>
      <w:r w:rsidRPr="00E4241B">
        <w:rPr>
          <w:sz w:val="24"/>
          <w:szCs w:val="24"/>
        </w:rPr>
        <w:t>completed</w:t>
      </w:r>
      <w:proofErr w:type="gramEnd"/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books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records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returned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new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Treasurer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within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forty-five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(45)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days.</w:t>
      </w:r>
    </w:p>
    <w:p w:rsidR="0063629F" w:rsidRPr="00E4241B" w:rsidRDefault="0063629F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3" w:name="_Toc434740105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REMUNERATION</w:t>
      </w:r>
      <w:bookmarkEnd w:id="13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No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executive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Director,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receive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remuneration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their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services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unless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expressly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authorized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meeting.</w:t>
      </w:r>
    </w:p>
    <w:p w:rsidR="00F6683E" w:rsidRPr="00E4241B" w:rsidRDefault="006B4CA2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</w:t>
      </w:r>
      <w:r w:rsidR="00F6683E" w:rsidRPr="00E4241B">
        <w:rPr>
          <w:sz w:val="24"/>
          <w:szCs w:val="24"/>
        </w:rPr>
        <w:t>he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only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reimbursement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considered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will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be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for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receipted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expenses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incurred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in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the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running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of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the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Association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and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associated</w:t>
      </w:r>
      <w:r w:rsidRPr="00E4241B">
        <w:rPr>
          <w:sz w:val="24"/>
          <w:szCs w:val="24"/>
        </w:rPr>
        <w:t xml:space="preserve"> </w:t>
      </w:r>
      <w:r w:rsidR="00F6683E" w:rsidRPr="00E4241B">
        <w:rPr>
          <w:sz w:val="24"/>
          <w:szCs w:val="24"/>
        </w:rPr>
        <w:t>events.</w:t>
      </w:r>
      <w:r w:rsidRPr="00E4241B">
        <w:rPr>
          <w:sz w:val="24"/>
          <w:szCs w:val="24"/>
        </w:rPr>
        <w:t xml:space="preserve">  </w:t>
      </w:r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Expenses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may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include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salary,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honorarium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other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payment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for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wages,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salary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similar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payments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member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4" w:name="_Toc434740106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BORROWING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POWERS</w:t>
      </w:r>
      <w:bookmarkEnd w:id="14"/>
    </w:p>
    <w:p w:rsidR="00F6683E" w:rsidRPr="00570A62" w:rsidRDefault="006B4CA2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570A62">
        <w:rPr>
          <w:sz w:val="24"/>
          <w:szCs w:val="24"/>
        </w:rPr>
        <w:t>T</w:t>
      </w:r>
      <w:r w:rsidR="00F6683E" w:rsidRPr="00570A62">
        <w:rPr>
          <w:sz w:val="24"/>
          <w:szCs w:val="24"/>
        </w:rPr>
        <w:t>he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Association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shall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not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be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allowed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to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borrow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money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from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a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financial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institution,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bank</w:t>
      </w:r>
      <w:r w:rsidRPr="00570A62">
        <w:rPr>
          <w:sz w:val="24"/>
          <w:szCs w:val="24"/>
        </w:rPr>
        <w:t xml:space="preserve"> </w:t>
      </w:r>
      <w:r w:rsidR="00F6683E" w:rsidRPr="00570A62">
        <w:rPr>
          <w:sz w:val="24"/>
          <w:szCs w:val="24"/>
        </w:rPr>
        <w:t>or</w:t>
      </w:r>
      <w:r w:rsidRPr="00570A62">
        <w:rPr>
          <w:sz w:val="24"/>
          <w:szCs w:val="24"/>
        </w:rPr>
        <w:t xml:space="preserve"> </w:t>
      </w:r>
      <w:r w:rsidR="00FC6BAA" w:rsidRPr="00570A62">
        <w:rPr>
          <w:sz w:val="24"/>
          <w:szCs w:val="24"/>
        </w:rPr>
        <w:t>individual(s), groups or businesses</w:t>
      </w:r>
      <w:r w:rsidR="00570A62">
        <w:rPr>
          <w:sz w:val="24"/>
          <w:szCs w:val="24"/>
        </w:rPr>
        <w:t>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63629F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5" w:name="_Toc434740107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</w:t>
      </w:r>
      <w:r w:rsidR="00F6683E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ISSOLUTION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6683E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OF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6683E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THE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6683E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ASSOCIATION</w:t>
      </w:r>
      <w:bookmarkEnd w:id="15"/>
    </w:p>
    <w:p w:rsidR="00F6683E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If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Association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dissolved,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any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assets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remaining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after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paying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debts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and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liabilities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shall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disbursed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eligible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charities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will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be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decided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that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time.</w:t>
      </w:r>
    </w:p>
    <w:p w:rsidR="00E4241B" w:rsidRPr="00E4241B" w:rsidRDefault="00E4241B" w:rsidP="00E4241B">
      <w:pPr>
        <w:rPr>
          <w:sz w:val="24"/>
          <w:szCs w:val="24"/>
        </w:rPr>
      </w:pPr>
    </w:p>
    <w:p w:rsidR="00F6683E" w:rsidRPr="00AA22DC" w:rsidRDefault="00F6683E" w:rsidP="00495FA3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16" w:name="_Toc434740108"/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SEAL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OF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THE</w:t>
      </w:r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SOCIETY</w:t>
      </w:r>
      <w:bookmarkEnd w:id="16"/>
      <w:r w:rsidR="006B4CA2" w:rsidRPr="00AA22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</w:p>
    <w:p w:rsidR="003F5712" w:rsidRPr="00E4241B" w:rsidRDefault="00F6683E" w:rsidP="001C0475">
      <w:pPr>
        <w:pStyle w:val="ListParagraph"/>
        <w:numPr>
          <w:ilvl w:val="1"/>
          <w:numId w:val="1"/>
        </w:numPr>
        <w:spacing w:before="120" w:after="120" w:line="240" w:lineRule="auto"/>
        <w:ind w:left="990" w:hanging="630"/>
        <w:contextualSpacing w:val="0"/>
        <w:rPr>
          <w:sz w:val="24"/>
          <w:szCs w:val="24"/>
        </w:rPr>
      </w:pPr>
      <w:r w:rsidRPr="00E4241B">
        <w:rPr>
          <w:sz w:val="24"/>
          <w:szCs w:val="24"/>
        </w:rPr>
        <w:t>There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is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no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seal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of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the</w:t>
      </w:r>
      <w:r w:rsidR="006B4CA2" w:rsidRPr="00E4241B">
        <w:rPr>
          <w:sz w:val="24"/>
          <w:szCs w:val="24"/>
        </w:rPr>
        <w:t xml:space="preserve"> </w:t>
      </w:r>
      <w:r w:rsidRPr="00E4241B">
        <w:rPr>
          <w:sz w:val="24"/>
          <w:szCs w:val="24"/>
        </w:rPr>
        <w:t>society.</w:t>
      </w:r>
    </w:p>
    <w:sectPr w:rsidR="003F5712" w:rsidRPr="00E424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44" w:rsidRDefault="00C60D44" w:rsidP="001B0F93">
      <w:pPr>
        <w:spacing w:after="0" w:line="240" w:lineRule="auto"/>
      </w:pPr>
      <w:r>
        <w:separator/>
      </w:r>
    </w:p>
  </w:endnote>
  <w:endnote w:type="continuationSeparator" w:id="0">
    <w:p w:rsidR="00C60D44" w:rsidRDefault="00C60D44" w:rsidP="001B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93" w:rsidRDefault="00C60D44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C3441A">
      <w:rPr>
        <w:noProof/>
      </w:rPr>
      <w:t>Central Bylaws</w:t>
    </w:r>
    <w:r>
      <w:rPr>
        <w:noProof/>
      </w:rPr>
      <w:fldChar w:fldCharType="end"/>
    </w:r>
    <w:r w:rsidR="001B0F93">
      <w:tab/>
    </w:r>
    <w:r w:rsidR="001B0F93">
      <w:tab/>
      <w:t xml:space="preserve">Page </w:t>
    </w:r>
    <w:sdt>
      <w:sdtPr>
        <w:id w:val="-1969415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B0F93">
          <w:fldChar w:fldCharType="begin"/>
        </w:r>
        <w:r w:rsidR="001B0F93">
          <w:instrText xml:space="preserve"> PAGE   \* MERGEFORMAT </w:instrText>
        </w:r>
        <w:r w:rsidR="001B0F93">
          <w:fldChar w:fldCharType="separate"/>
        </w:r>
        <w:r w:rsidR="002C6F62">
          <w:rPr>
            <w:noProof/>
          </w:rPr>
          <w:t>1</w:t>
        </w:r>
        <w:r w:rsidR="001B0F9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44" w:rsidRDefault="00C60D44" w:rsidP="001B0F93">
      <w:pPr>
        <w:spacing w:after="0" w:line="240" w:lineRule="auto"/>
      </w:pPr>
      <w:r>
        <w:separator/>
      </w:r>
    </w:p>
  </w:footnote>
  <w:footnote w:type="continuationSeparator" w:id="0">
    <w:p w:rsidR="00C60D44" w:rsidRDefault="00C60D44" w:rsidP="001B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6A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3E"/>
    <w:rsid w:val="00060DD8"/>
    <w:rsid w:val="00091FEB"/>
    <w:rsid w:val="00116D6A"/>
    <w:rsid w:val="001B0F93"/>
    <w:rsid w:val="001C0475"/>
    <w:rsid w:val="002C6F62"/>
    <w:rsid w:val="003A6CEA"/>
    <w:rsid w:val="003F5712"/>
    <w:rsid w:val="00400F25"/>
    <w:rsid w:val="00464DF7"/>
    <w:rsid w:val="00495FA3"/>
    <w:rsid w:val="004A3E08"/>
    <w:rsid w:val="00570A62"/>
    <w:rsid w:val="005C0A96"/>
    <w:rsid w:val="005C7FC0"/>
    <w:rsid w:val="005E18DB"/>
    <w:rsid w:val="0063629F"/>
    <w:rsid w:val="00687A9D"/>
    <w:rsid w:val="006B4CA2"/>
    <w:rsid w:val="00727CF0"/>
    <w:rsid w:val="00740C7F"/>
    <w:rsid w:val="007B4F08"/>
    <w:rsid w:val="00830F62"/>
    <w:rsid w:val="00910143"/>
    <w:rsid w:val="009C7207"/>
    <w:rsid w:val="00A4553E"/>
    <w:rsid w:val="00A665A0"/>
    <w:rsid w:val="00A826C4"/>
    <w:rsid w:val="00AA22DC"/>
    <w:rsid w:val="00B0723A"/>
    <w:rsid w:val="00B151F1"/>
    <w:rsid w:val="00C204D9"/>
    <w:rsid w:val="00C20804"/>
    <w:rsid w:val="00C336FC"/>
    <w:rsid w:val="00C3441A"/>
    <w:rsid w:val="00C60D44"/>
    <w:rsid w:val="00C85A06"/>
    <w:rsid w:val="00C948F4"/>
    <w:rsid w:val="00CA4F4D"/>
    <w:rsid w:val="00D146EA"/>
    <w:rsid w:val="00DD1C12"/>
    <w:rsid w:val="00E4241B"/>
    <w:rsid w:val="00E93E6A"/>
    <w:rsid w:val="00F0772A"/>
    <w:rsid w:val="00F6683E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277D-DD7F-4786-B599-1ECB574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F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95FA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0A62"/>
    <w:pPr>
      <w:tabs>
        <w:tab w:val="left" w:pos="709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16D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9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9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2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0FA5-3C4D-4D3F-BE56-F549FD3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O'Callaghan</dc:creator>
  <cp:keywords/>
  <dc:description/>
  <cp:lastModifiedBy>Pat O'Callaghan</cp:lastModifiedBy>
  <cp:revision>3</cp:revision>
  <cp:lastPrinted>2019-06-20T14:10:00Z</cp:lastPrinted>
  <dcterms:created xsi:type="dcterms:W3CDTF">2019-06-20T14:07:00Z</dcterms:created>
  <dcterms:modified xsi:type="dcterms:W3CDTF">2019-06-20T14:10:00Z</dcterms:modified>
</cp:coreProperties>
</file>